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spacing w:line="600" w:lineRule="exact"/>
        <w:jc w:val="center"/>
        <w:rPr>
          <w:rFonts w:ascii="宋体" w:hAnsi="宋体" w:cs="宋体"/>
          <w:b/>
          <w:bCs/>
          <w:color w:val="000000"/>
          <w:kern w:val="0"/>
          <w:sz w:val="44"/>
          <w:szCs w:val="44"/>
          <w:lang w:val="zh-CN"/>
        </w:rPr>
      </w:pPr>
      <w:bookmarkStart w:id="0" w:name="_Toc4325_WPSOffice_Level1"/>
      <w:r>
        <w:rPr>
          <w:rFonts w:hint="eastAsia" w:ascii="宋体" w:hAnsi="宋体" w:cs="宋体"/>
          <w:b/>
          <w:bCs/>
          <w:sz w:val="44"/>
          <w:szCs w:val="44"/>
        </w:rPr>
        <w:t>公开出版发行《峨边彝族自治县年鉴》</w:t>
      </w:r>
      <w:r>
        <w:rPr>
          <w:rFonts w:hint="eastAsia" w:ascii="宋体" w:hAnsi="宋体" w:cs="宋体"/>
          <w:b/>
          <w:bCs/>
          <w:sz w:val="44"/>
          <w:szCs w:val="44"/>
          <w:lang w:eastAsia="zh-CN"/>
        </w:rPr>
        <w:t>项目支出</w:t>
      </w:r>
      <w:r>
        <w:rPr>
          <w:rFonts w:hint="eastAsia" w:ascii="宋体" w:hAnsi="宋体" w:cs="宋体"/>
          <w:b/>
          <w:bCs/>
          <w:color w:val="000000"/>
          <w:kern w:val="0"/>
          <w:sz w:val="44"/>
          <w:szCs w:val="44"/>
          <w:lang w:val="zh-CN"/>
        </w:rPr>
        <w:t>绩效自评报告</w:t>
      </w:r>
      <w:bookmarkEnd w:id="0"/>
    </w:p>
    <w:p>
      <w:pPr>
        <w:adjustRightInd w:val="0"/>
        <w:snapToGrid w:val="0"/>
        <w:spacing w:line="600" w:lineRule="exact"/>
        <w:ind w:firstLine="720"/>
        <w:rPr>
          <w:rFonts w:ascii="黑体" w:hAnsi="黑体" w:eastAsia="黑体" w:cs="黑体"/>
          <w:sz w:val="32"/>
          <w:szCs w:val="32"/>
          <w:lang w:val="zh-CN"/>
        </w:rPr>
      </w:pPr>
      <w:bookmarkStart w:id="1" w:name="_Toc11634_WPSOffice_Level1"/>
      <w:r>
        <w:rPr>
          <w:rFonts w:hint="eastAsia" w:ascii="黑体" w:hAnsi="黑体" w:eastAsia="黑体" w:cs="黑体"/>
          <w:sz w:val="32"/>
          <w:szCs w:val="32"/>
        </w:rPr>
        <w:t>一、</w:t>
      </w:r>
      <w:r>
        <w:rPr>
          <w:rFonts w:hint="eastAsia" w:ascii="黑体" w:hAnsi="黑体" w:eastAsia="黑体" w:cs="黑体"/>
          <w:sz w:val="32"/>
          <w:szCs w:val="32"/>
          <w:lang w:val="zh-CN"/>
        </w:rPr>
        <w:t>项目概况</w:t>
      </w:r>
      <w:bookmarkEnd w:id="1"/>
    </w:p>
    <w:p>
      <w:pPr>
        <w:adjustRightInd w:val="0"/>
        <w:snapToGrid w:val="0"/>
        <w:spacing w:line="600" w:lineRule="exact"/>
        <w:ind w:firstLine="720"/>
        <w:rPr>
          <w:rFonts w:ascii="楷体" w:hAnsi="楷体" w:eastAsia="楷体" w:cs="楷体"/>
          <w:bCs/>
          <w:sz w:val="32"/>
          <w:szCs w:val="32"/>
          <w:lang w:val="zh-CN"/>
        </w:rPr>
      </w:pPr>
      <w:bookmarkStart w:id="2" w:name="_Toc22203_WPSOffice_Level2"/>
      <w:r>
        <w:rPr>
          <w:rFonts w:hint="eastAsia" w:ascii="楷体" w:hAnsi="楷体" w:eastAsia="楷体" w:cs="楷体"/>
          <w:bCs/>
          <w:sz w:val="32"/>
          <w:szCs w:val="32"/>
          <w:lang w:val="zh-CN"/>
        </w:rPr>
        <w:t>（一）项目基本情况。</w:t>
      </w:r>
      <w:bookmarkEnd w:id="2"/>
    </w:p>
    <w:p>
      <w:pPr>
        <w:adjustRightInd w:val="0"/>
        <w:snapToGrid w:val="0"/>
        <w:spacing w:line="600" w:lineRule="exact"/>
        <w:ind w:firstLine="72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1．说明项目主管部门（单位）在该项目管理中的职能。</w:t>
      </w:r>
    </w:p>
    <w:p>
      <w:pPr>
        <w:adjustRightInd w:val="0"/>
        <w:snapToGrid w:val="0"/>
        <w:spacing w:line="600" w:lineRule="exact"/>
        <w:ind w:firstLine="72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公开出版发行《峨边彝族自治县年鉴》</w:t>
      </w:r>
      <w:r>
        <w:rPr>
          <w:rFonts w:hint="eastAsia" w:ascii="仿宋_GB2312" w:hAnsi="仿宋_GB2312" w:eastAsia="仿宋_GB2312" w:cs="仿宋_GB2312"/>
          <w:sz w:val="32"/>
          <w:szCs w:val="32"/>
          <w:lang w:val="zh-CN"/>
        </w:rPr>
        <w:t>是我单位每年开展的常规性的地方志重要业务工作，由</w:t>
      </w:r>
      <w:r>
        <w:rPr>
          <w:rFonts w:hint="eastAsia" w:ascii="仿宋_GB2312" w:hAnsi="仿宋_GB2312" w:eastAsia="仿宋_GB2312" w:cs="仿宋_GB2312"/>
          <w:color w:val="000000"/>
          <w:sz w:val="32"/>
          <w:szCs w:val="32"/>
        </w:rPr>
        <w:t>我单位对全县</w:t>
      </w:r>
      <w:r>
        <w:rPr>
          <w:rFonts w:hint="eastAsia" w:ascii="仿宋_GB2312" w:hAnsi="仿宋_GB2312" w:eastAsia="仿宋_GB2312" w:cs="仿宋_GB2312"/>
          <w:color w:val="000000"/>
          <w:sz w:val="32"/>
          <w:szCs w:val="32"/>
          <w:lang w:eastAsia="zh-CN"/>
        </w:rPr>
        <w:t>各乡镇、各部门以及各</w:t>
      </w:r>
      <w:r>
        <w:rPr>
          <w:rFonts w:hint="eastAsia" w:ascii="仿宋_GB2312" w:hAnsi="仿宋_GB2312" w:eastAsia="仿宋_GB2312" w:cs="仿宋_GB2312"/>
          <w:color w:val="000000"/>
          <w:sz w:val="32"/>
          <w:szCs w:val="32"/>
        </w:rPr>
        <w:t>企事业单位开展年鉴</w:t>
      </w:r>
      <w:r>
        <w:rPr>
          <w:rFonts w:hint="eastAsia" w:ascii="仿宋_GB2312" w:hAnsi="仿宋_GB2312" w:eastAsia="仿宋_GB2312" w:cs="仿宋_GB2312"/>
          <w:color w:val="000000"/>
          <w:sz w:val="32"/>
          <w:szCs w:val="32"/>
          <w:lang w:eastAsia="zh-CN"/>
        </w:rPr>
        <w:t>资料</w:t>
      </w:r>
      <w:r>
        <w:rPr>
          <w:rFonts w:hint="eastAsia" w:ascii="仿宋_GB2312" w:hAnsi="仿宋_GB2312" w:eastAsia="仿宋_GB2312" w:cs="仿宋_GB2312"/>
          <w:color w:val="000000"/>
          <w:sz w:val="32"/>
          <w:szCs w:val="32"/>
        </w:rPr>
        <w:t>的收集、</w:t>
      </w:r>
      <w:r>
        <w:rPr>
          <w:rFonts w:hint="eastAsia" w:ascii="仿宋_GB2312" w:hAnsi="仿宋_GB2312" w:eastAsia="仿宋_GB2312" w:cs="仿宋_GB2312"/>
          <w:color w:val="000000"/>
          <w:sz w:val="32"/>
          <w:szCs w:val="32"/>
          <w:lang w:eastAsia="zh-CN"/>
        </w:rPr>
        <w:t>编纂工作，最终达到公开出版</w:t>
      </w:r>
      <w:r>
        <w:rPr>
          <w:rFonts w:hint="eastAsia" w:ascii="仿宋_GB2312" w:hAnsi="仿宋_GB2312" w:eastAsia="仿宋_GB2312" w:cs="仿宋_GB2312"/>
          <w:color w:val="000000"/>
          <w:sz w:val="32"/>
          <w:szCs w:val="32"/>
        </w:rPr>
        <w:t>等，对整个项目负总责。</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zh-CN"/>
        </w:rPr>
        <w:t>项目立项、资金申报的依据。</w:t>
      </w:r>
    </w:p>
    <w:p>
      <w:pPr>
        <w:adjustRightInd w:val="0"/>
        <w:snapToGrid w:val="0"/>
        <w:spacing w:line="600" w:lineRule="exact"/>
        <w:ind w:firstLine="72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峨边彝族自治县年鉴》是峨边彝族自治县人民政府组织编撰的综合性地方年鉴，旨在按年度全面、系统记录峨边彝族自治县政治、经济、文化、社会发展情况，真实反映峨边彝族自治县真抓实干、开拓创新，为致力绿色崛起、建设美丽峨边、建成全面小康社会，不断改善人民生活、促进城乡共同发展、共同繁荣的历史进程。为各级党政机关、研究部门、国内投资者和社会各界人士了解峨边、认识峨边和研究峨边提供依据，是集资料性、综合性、权威性、存史性等特征一体的大型年度性多功能工具书。资金的申报是根据年鉴的出版数量、纸张要求、书本厚度、出版规格等以及结合本年度财政所能匹配的资金进行申报，旨在于有效、科学实施项目。</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zh-CN"/>
        </w:rPr>
        <w:t>资金管理办法制定情况，资金支持具体项目的条件、范围与支持方式概况。</w:t>
      </w:r>
    </w:p>
    <w:p>
      <w:pPr>
        <w:adjustRightInd w:val="0"/>
        <w:snapToGrid w:val="0"/>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在项目实施前</w:t>
      </w:r>
      <w:r>
        <w:rPr>
          <w:rFonts w:hint="eastAsia" w:ascii="仿宋_GB2312" w:hAnsi="仿宋_GB2312" w:eastAsia="仿宋_GB2312" w:cs="仿宋_GB2312"/>
          <w:sz w:val="32"/>
          <w:szCs w:val="32"/>
          <w:lang w:eastAsia="zh-CN"/>
        </w:rPr>
        <w:t>期</w:t>
      </w:r>
      <w:r>
        <w:rPr>
          <w:rFonts w:hint="eastAsia" w:ascii="仿宋_GB2312" w:hAnsi="仿宋_GB2312" w:eastAsia="仿宋_GB2312" w:cs="仿宋_GB2312"/>
          <w:sz w:val="32"/>
          <w:szCs w:val="32"/>
        </w:rPr>
        <w:t>制定了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资金管理办法，对资金拨付时间和拨付方式也进行了明确，在项目实施完毕后由本单位组织专人进行验收，验收合格后才拨付资金。</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zh-CN"/>
        </w:rPr>
        <w:t>资金分配的原则及考虑因素。</w:t>
      </w:r>
    </w:p>
    <w:p>
      <w:pPr>
        <w:adjustRightInd w:val="0"/>
        <w:snapToGrid w:val="0"/>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资金的分配按照在</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的资金范围内，按照项目进度进行据实拨付，确保专款专用。</w:t>
      </w:r>
    </w:p>
    <w:p>
      <w:pPr>
        <w:adjustRightInd w:val="0"/>
        <w:snapToGrid w:val="0"/>
        <w:spacing w:line="600" w:lineRule="exact"/>
        <w:ind w:firstLine="720"/>
        <w:rPr>
          <w:rFonts w:ascii="仿宋_GB2312" w:hAnsi="仿宋_GB2312" w:eastAsia="仿宋_GB2312" w:cs="仿宋_GB2312"/>
          <w:b/>
          <w:sz w:val="32"/>
          <w:szCs w:val="32"/>
          <w:lang w:val="zh-CN"/>
        </w:rPr>
      </w:pPr>
      <w:bookmarkStart w:id="3" w:name="_Toc1667_WPSOffice_Level2"/>
      <w:r>
        <w:rPr>
          <w:rFonts w:hint="eastAsia" w:ascii="仿宋_GB2312" w:hAnsi="仿宋_GB2312" w:eastAsia="仿宋_GB2312" w:cs="仿宋_GB2312"/>
          <w:b/>
          <w:sz w:val="32"/>
          <w:szCs w:val="32"/>
          <w:lang w:val="zh-CN"/>
        </w:rPr>
        <w:t>（二）项目绩效目标。</w:t>
      </w:r>
      <w:bookmarkEnd w:id="3"/>
    </w:p>
    <w:p>
      <w:pPr>
        <w:adjustRightInd w:val="0"/>
        <w:snapToGrid w:val="0"/>
        <w:spacing w:line="600" w:lineRule="exact"/>
        <w:ind w:firstLine="72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1．项目主要内容。</w:t>
      </w:r>
    </w:p>
    <w:p>
      <w:pPr>
        <w:adjustRightInd w:val="0"/>
        <w:snapToGrid w:val="0"/>
        <w:spacing w:line="600" w:lineRule="exact"/>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 xml:space="preserve">   《峨边彝族自治县年鉴》是峨边彝族自治县人民政府组织编撰的综合性地方年鉴，旨在按年度全面、系统记录峨边彝族自治县政治、经济、文化、社会发展情况，真实反映峨边彝族自治县真抓实干、开拓创新，为致力绿色崛起、建设美丽峨边、建成全面小康社会，不断改善人民生活、促进城乡共同发展、共同繁荣的历史进程。为各级党政机关、研究部门、国内投资者和社会各界人士了解峨边、认识峨边和研究峨边提供依据，是集资料性、综合性、权威性、存史性等特征一体的大型年度性多功能工具书。</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zh-CN"/>
        </w:rPr>
        <w:t>项目应实现的具体绩效目标，包括目标的量化、细化情况以及项目实施进度计划等。</w:t>
      </w:r>
    </w:p>
    <w:p>
      <w:pPr>
        <w:adjustRightInd w:val="0"/>
        <w:snapToGrid w:val="0"/>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项目应实现的绩效目标是按照年鉴出版要求，对书籍的内容、规格、质量、数量、出版事宜等进行监督并在指定的项目金额内和项目完成时间里，保质保量完成任务，记录峨边彝族自治县政治、经济、文化、社会发展情况，真实反映峨边彝族自治县真抓实干、开拓创新，为致力绿色崛起、建设美丽峨边、建成全面小康社会，不断改善人民生活、促进城乡共同发展、共同繁荣的历史进程。为各级党政机关、研究部门、国内投资者和社会各界人士了解峨边、认识峨边和研究峨边提供依据，是集资料性、综合性、权威性、存史性等特征一体的大型年度性多功能工具书。</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zh-CN"/>
        </w:rPr>
        <w:t>分析评价申报内容是否与实际相符，申报目标是否合理可行。</w:t>
      </w:r>
    </w:p>
    <w:p>
      <w:pPr>
        <w:adjustRightInd w:val="0"/>
        <w:snapToGrid w:val="0"/>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项目评价申报内容与实际相符，申报目标切实可行。</w:t>
      </w:r>
    </w:p>
    <w:p>
      <w:pPr>
        <w:adjustRightInd w:val="0"/>
        <w:snapToGrid w:val="0"/>
        <w:spacing w:line="600" w:lineRule="exact"/>
        <w:ind w:firstLine="720"/>
        <w:rPr>
          <w:rFonts w:ascii="仿宋_GB2312" w:hAnsi="仿宋_GB2312" w:eastAsia="仿宋_GB2312" w:cs="仿宋_GB2312"/>
          <w:b/>
          <w:sz w:val="32"/>
          <w:szCs w:val="32"/>
          <w:lang w:val="zh-CN"/>
        </w:rPr>
      </w:pPr>
      <w:bookmarkStart w:id="4" w:name="_Toc15094_WPSOffice_Level2"/>
      <w:r>
        <w:rPr>
          <w:rFonts w:hint="eastAsia" w:ascii="仿宋_GB2312" w:hAnsi="仿宋_GB2312" w:eastAsia="仿宋_GB2312" w:cs="仿宋_GB2312"/>
          <w:b/>
          <w:sz w:val="32"/>
          <w:szCs w:val="32"/>
          <w:lang w:val="zh-CN"/>
        </w:rPr>
        <w:t>（三）项目自评步骤及方法。</w:t>
      </w:r>
      <w:bookmarkEnd w:id="4"/>
    </w:p>
    <w:p>
      <w:pPr>
        <w:adjustRightInd w:val="0"/>
        <w:snapToGrid w:val="0"/>
        <w:spacing w:line="600" w:lineRule="exact"/>
        <w:ind w:firstLine="72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自评工作开展前我单位制定了自评方案，办公室牵头、由分管领导和财务人员组成自评小组，对前期项目立项依据、出版社的选定、以及出版要求、内容可行性进行审查</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zh-CN"/>
        </w:rPr>
        <w:t>项目开展过程合法合理性进行自查，确保自评工作取得实效。</w:t>
      </w:r>
    </w:p>
    <w:p>
      <w:pPr>
        <w:adjustRightInd w:val="0"/>
        <w:snapToGrid w:val="0"/>
        <w:spacing w:line="600" w:lineRule="exact"/>
        <w:ind w:firstLine="720"/>
        <w:rPr>
          <w:rFonts w:ascii="黑体" w:hAnsi="黑体" w:eastAsia="黑体" w:cs="黑体"/>
          <w:sz w:val="32"/>
          <w:szCs w:val="32"/>
        </w:rPr>
      </w:pPr>
      <w:bookmarkStart w:id="5" w:name="_Toc15917_WPSOffice_Level1"/>
      <w:r>
        <w:rPr>
          <w:rFonts w:hint="eastAsia" w:ascii="黑体" w:hAnsi="黑体" w:eastAsia="黑体" w:cs="黑体"/>
          <w:sz w:val="32"/>
          <w:szCs w:val="32"/>
        </w:rPr>
        <w:t>二、项目资金申报及使用情况</w:t>
      </w:r>
      <w:bookmarkEnd w:id="5"/>
    </w:p>
    <w:p>
      <w:pPr>
        <w:adjustRightInd w:val="0"/>
        <w:snapToGrid w:val="0"/>
        <w:spacing w:line="600" w:lineRule="exact"/>
        <w:ind w:firstLine="720"/>
        <w:rPr>
          <w:rFonts w:ascii="仿宋_GB2312" w:hAnsi="仿宋_GB2312" w:eastAsia="仿宋_GB2312" w:cs="仿宋_GB2312"/>
          <w:b/>
          <w:sz w:val="32"/>
          <w:szCs w:val="32"/>
          <w:lang w:val="zh-CN"/>
        </w:rPr>
      </w:pPr>
      <w:bookmarkStart w:id="6" w:name="_Toc20228_WPSOffice_Level2"/>
      <w:r>
        <w:rPr>
          <w:rFonts w:hint="eastAsia" w:ascii="仿宋_GB2312" w:hAnsi="仿宋_GB2312" w:eastAsia="仿宋_GB2312" w:cs="仿宋_GB2312"/>
          <w:b/>
          <w:sz w:val="32"/>
          <w:szCs w:val="32"/>
          <w:lang w:val="zh-CN"/>
        </w:rPr>
        <w:t>（一）项目资金申报及批复情况。</w:t>
      </w:r>
      <w:bookmarkEnd w:id="6"/>
    </w:p>
    <w:p>
      <w:pPr>
        <w:adjustRightInd w:val="0"/>
        <w:snapToGrid w:val="0"/>
        <w:spacing w:line="600" w:lineRule="exact"/>
        <w:ind w:firstLine="72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根据项目开展进度以及所需资金按照年初预算指标向县财政提出项目用款计划表，财政审核后下达资金给单位，单位再进行拨付。</w:t>
      </w:r>
    </w:p>
    <w:p>
      <w:pPr>
        <w:adjustRightInd w:val="0"/>
        <w:snapToGrid w:val="0"/>
        <w:spacing w:line="600" w:lineRule="exact"/>
        <w:ind w:firstLine="643" w:firstLineChars="200"/>
        <w:rPr>
          <w:rFonts w:ascii="仿宋_GB2312" w:hAnsi="仿宋_GB2312" w:eastAsia="仿宋_GB2312" w:cs="仿宋_GB2312"/>
          <w:sz w:val="32"/>
          <w:szCs w:val="32"/>
          <w:lang w:val="zh-CN"/>
        </w:rPr>
      </w:pPr>
      <w:bookmarkStart w:id="7" w:name="_Toc6265_WPSOffice_Level2"/>
      <w:r>
        <w:rPr>
          <w:rFonts w:hint="eastAsia" w:ascii="仿宋_GB2312" w:hAnsi="仿宋_GB2312" w:eastAsia="仿宋_GB2312" w:cs="仿宋_GB2312"/>
          <w:b/>
          <w:sz w:val="32"/>
          <w:szCs w:val="32"/>
          <w:lang w:val="zh-CN"/>
        </w:rPr>
        <w:t>（二）资金计划、到位及使用情况（可用表格形式反映）。</w:t>
      </w:r>
      <w:bookmarkEnd w:id="7"/>
    </w:p>
    <w:p>
      <w:pPr>
        <w:adjustRightInd w:val="0"/>
        <w:snapToGrid w:val="0"/>
        <w:spacing w:line="600" w:lineRule="exact"/>
        <w:ind w:firstLine="72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1．资金计划。项目资金通过本单位年初预算提交财政审核，由财政统一安排资金</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p>
    <w:p>
      <w:pPr>
        <w:adjustRightInd w:val="0"/>
        <w:snapToGrid w:val="0"/>
        <w:spacing w:line="600" w:lineRule="exact"/>
        <w:ind w:firstLine="72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2．资金到位。在项目完工后，通过向县财政提交项目用款计划申请，由县财政下拨资金到本单位，由本单位及时拨付给出版社，资金到位及时。</w:t>
      </w:r>
    </w:p>
    <w:p>
      <w:pPr>
        <w:adjustRightInd w:val="0"/>
        <w:snapToGrid w:val="0"/>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zh-CN"/>
        </w:rPr>
        <w:t>3．资金使用。该项目</w:t>
      </w:r>
      <w:r>
        <w:rPr>
          <w:rFonts w:hint="eastAsia" w:ascii="仿宋_GB2312" w:hAnsi="仿宋_GB2312" w:eastAsia="仿宋_GB2312" w:cs="仿宋_GB2312"/>
          <w:sz w:val="32"/>
          <w:szCs w:val="32"/>
        </w:rPr>
        <w:t>按照合同要求进行验收，验收合格后才拨付资金。项目资金达到专款专用合理支付。</w:t>
      </w:r>
    </w:p>
    <w:p>
      <w:pPr>
        <w:adjustRightInd w:val="0"/>
        <w:snapToGrid w:val="0"/>
        <w:spacing w:line="600" w:lineRule="exact"/>
        <w:ind w:firstLine="720"/>
        <w:rPr>
          <w:rFonts w:ascii="仿宋_GB2312" w:hAnsi="仿宋_GB2312" w:eastAsia="仿宋_GB2312" w:cs="仿宋_GB2312"/>
          <w:b/>
          <w:sz w:val="32"/>
          <w:szCs w:val="32"/>
          <w:lang w:val="zh-CN"/>
        </w:rPr>
      </w:pPr>
      <w:bookmarkStart w:id="8" w:name="_Toc9687_WPSOffice_Level2"/>
      <w:r>
        <w:rPr>
          <w:rFonts w:hint="eastAsia" w:ascii="仿宋_GB2312" w:hAnsi="仿宋_GB2312" w:eastAsia="仿宋_GB2312" w:cs="仿宋_GB2312"/>
          <w:b/>
          <w:sz w:val="32"/>
          <w:szCs w:val="32"/>
          <w:lang w:val="zh-CN"/>
        </w:rPr>
        <w:t>（三）项目财务管理情况。</w:t>
      </w:r>
      <w:bookmarkEnd w:id="8"/>
    </w:p>
    <w:p>
      <w:pPr>
        <w:adjustRightInd w:val="0"/>
        <w:snapToGrid w:val="0"/>
        <w:spacing w:line="600" w:lineRule="exact"/>
        <w:ind w:firstLine="72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在项目实施过程中，我单位严格按照财务管理制度，做到账务处理准确、及时，会计核算规范等。</w:t>
      </w:r>
    </w:p>
    <w:p>
      <w:pPr>
        <w:adjustRightInd w:val="0"/>
        <w:snapToGrid w:val="0"/>
        <w:spacing w:line="600" w:lineRule="exact"/>
        <w:ind w:firstLine="720"/>
        <w:rPr>
          <w:rFonts w:ascii="黑体" w:hAnsi="黑体" w:eastAsia="黑体" w:cs="黑体"/>
          <w:sz w:val="32"/>
          <w:szCs w:val="32"/>
        </w:rPr>
      </w:pPr>
      <w:bookmarkStart w:id="9" w:name="_Toc26486_WPSOffice_Level1"/>
      <w:r>
        <w:rPr>
          <w:rFonts w:hint="eastAsia" w:ascii="黑体" w:hAnsi="黑体" w:eastAsia="黑体" w:cs="黑体"/>
          <w:sz w:val="32"/>
          <w:szCs w:val="32"/>
        </w:rPr>
        <w:t>三、项目实施及管理情况</w:t>
      </w:r>
      <w:bookmarkEnd w:id="9"/>
    </w:p>
    <w:p>
      <w:pPr>
        <w:adjustRightInd w:val="0"/>
        <w:snapToGrid w:val="0"/>
        <w:spacing w:line="600" w:lineRule="exact"/>
        <w:ind w:firstLine="720"/>
        <w:rPr>
          <w:rFonts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（一）项目组织架构及实施流程。</w:t>
      </w:r>
      <w:r>
        <w:rPr>
          <w:rFonts w:hint="eastAsia" w:ascii="仿宋_GB2312" w:hAnsi="仿宋_GB2312" w:eastAsia="仿宋_GB2312" w:cs="仿宋_GB2312"/>
          <w:sz w:val="32"/>
          <w:szCs w:val="32"/>
          <w:lang w:val="zh-CN"/>
        </w:rPr>
        <w:t>该项目</w:t>
      </w:r>
      <w:r>
        <w:rPr>
          <w:rFonts w:hint="eastAsia" w:ascii="仿宋_GB2312" w:hAnsi="仿宋_GB2312" w:eastAsia="仿宋_GB2312" w:cs="仿宋_GB2312"/>
          <w:sz w:val="32"/>
          <w:szCs w:val="32"/>
        </w:rPr>
        <w:t>是为了全面、系统记录</w:t>
      </w:r>
      <w:r>
        <w:rPr>
          <w:rFonts w:hint="eastAsia" w:ascii="仿宋_GB2312" w:hAnsi="仿宋_GB2312" w:eastAsia="仿宋_GB2312" w:cs="仿宋_GB2312"/>
          <w:sz w:val="32"/>
          <w:szCs w:val="32"/>
          <w:lang w:eastAsia="zh-CN"/>
        </w:rPr>
        <w:t>该年度</w:t>
      </w:r>
      <w:r>
        <w:rPr>
          <w:rFonts w:hint="eastAsia" w:ascii="仿宋_GB2312" w:hAnsi="仿宋_GB2312" w:eastAsia="仿宋_GB2312" w:cs="仿宋_GB2312"/>
          <w:sz w:val="32"/>
          <w:szCs w:val="32"/>
        </w:rPr>
        <w:t>峨边彝族自治县政治、经济、文化、社会发展情况</w:t>
      </w:r>
      <w:r>
        <w:rPr>
          <w:rFonts w:hint="eastAsia" w:ascii="仿宋_GB2312" w:hAnsi="仿宋_GB2312" w:eastAsia="仿宋_GB2312" w:cs="仿宋_GB2312"/>
          <w:sz w:val="32"/>
          <w:szCs w:val="32"/>
          <w:lang w:val="zh-CN"/>
        </w:rPr>
        <w:t>而组建的，根据年鉴所要达到的出版要求和内容，请专业机构和人员估算大概经费，形成初步项目资金需求，并在年初进行预算，上报财政部门审核，审核过后，委托专业机构进行编辑出版，最后由本单位进行验收，验收合格后支付资金。</w:t>
      </w:r>
    </w:p>
    <w:p>
      <w:pPr>
        <w:adjustRightInd w:val="0"/>
        <w:snapToGrid w:val="0"/>
        <w:spacing w:line="600" w:lineRule="exact"/>
        <w:ind w:firstLine="720"/>
        <w:rPr>
          <w:rFonts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（二）项目管理情况。</w:t>
      </w:r>
      <w:r>
        <w:rPr>
          <w:rFonts w:hint="eastAsia" w:ascii="仿宋_GB2312" w:hAnsi="仿宋_GB2312" w:eastAsia="仿宋_GB2312" w:cs="仿宋_GB2312"/>
          <w:sz w:val="32"/>
          <w:szCs w:val="32"/>
          <w:lang w:val="zh-CN"/>
        </w:rPr>
        <w:t>在实施项目前期我单位向全县各乡镇、各部门以及各企事业单位收集本年度本部门工作重点、重大事件等资料和图片，通过前期资料收集、整理、校对，再通过出版社进行编排、出版，我单位安排了专人对整个项目实施过程进行参与、指导等。在整个实施过程中我单位严格按照相关法律法规及项目管理制度，使项目得以顺利开展。</w:t>
      </w:r>
    </w:p>
    <w:p>
      <w:pPr>
        <w:adjustRightInd w:val="0"/>
        <w:snapToGrid w:val="0"/>
        <w:spacing w:line="600" w:lineRule="exact"/>
        <w:ind w:firstLine="720"/>
        <w:rPr>
          <w:rFonts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（三）项目监管情况。</w:t>
      </w:r>
      <w:r>
        <w:rPr>
          <w:rFonts w:hint="eastAsia" w:ascii="仿宋_GB2312" w:hAnsi="仿宋_GB2312" w:eastAsia="仿宋_GB2312" w:cs="仿宋_GB2312"/>
          <w:sz w:val="32"/>
          <w:szCs w:val="32"/>
          <w:lang w:val="zh-CN"/>
        </w:rPr>
        <w:t>在项目实施过程中，我单位安排了专人对整个项目实施过程进行全程监督、参与、指导，对项目经费使用严格审核把关，确保书籍按时、按质出版。</w:t>
      </w:r>
    </w:p>
    <w:p>
      <w:pPr>
        <w:adjustRightInd w:val="0"/>
        <w:snapToGrid w:val="0"/>
        <w:spacing w:line="600" w:lineRule="exact"/>
        <w:ind w:firstLine="720"/>
        <w:rPr>
          <w:rFonts w:ascii="黑体" w:hAnsi="黑体" w:eastAsia="黑体" w:cs="黑体"/>
          <w:sz w:val="32"/>
          <w:szCs w:val="32"/>
          <w:lang w:val="zh-CN"/>
        </w:rPr>
      </w:pPr>
      <w:bookmarkStart w:id="10" w:name="_Toc12447_WPSOffice_Level1"/>
      <w:r>
        <w:rPr>
          <w:rFonts w:hint="eastAsia" w:ascii="黑体" w:hAnsi="黑体" w:eastAsia="黑体" w:cs="黑体"/>
          <w:sz w:val="32"/>
          <w:szCs w:val="32"/>
        </w:rPr>
        <w:t>四、项目绩效情况</w:t>
      </w:r>
      <w:bookmarkEnd w:id="10"/>
      <w:r>
        <w:rPr>
          <w:rFonts w:hint="eastAsia" w:ascii="黑体" w:hAnsi="黑体" w:eastAsia="黑体" w:cs="黑体"/>
          <w:sz w:val="32"/>
          <w:szCs w:val="32"/>
          <w:lang w:val="zh-CN"/>
        </w:rPr>
        <w:tab/>
      </w:r>
    </w:p>
    <w:p>
      <w:pPr>
        <w:adjustRightInd w:val="0"/>
        <w:snapToGrid w:val="0"/>
        <w:spacing w:line="600" w:lineRule="exact"/>
        <w:ind w:firstLine="720"/>
        <w:rPr>
          <w:rFonts w:ascii="仿宋_GB2312" w:hAnsi="仿宋_GB2312" w:eastAsia="仿宋_GB2312" w:cs="仿宋_GB2312"/>
          <w:b/>
          <w:sz w:val="32"/>
          <w:szCs w:val="32"/>
          <w:lang w:val="zh-CN"/>
        </w:rPr>
      </w:pPr>
      <w:bookmarkStart w:id="11" w:name="_Toc2438_WPSOffice_Level2"/>
      <w:r>
        <w:rPr>
          <w:rFonts w:hint="eastAsia" w:ascii="仿宋_GB2312" w:hAnsi="仿宋_GB2312" w:eastAsia="仿宋_GB2312" w:cs="仿宋_GB2312"/>
          <w:b/>
          <w:sz w:val="32"/>
          <w:szCs w:val="32"/>
          <w:lang w:val="zh-CN"/>
        </w:rPr>
        <w:t>（一）项目完成情况。</w:t>
      </w:r>
      <w:bookmarkEnd w:id="11"/>
    </w:p>
    <w:p>
      <w:pPr>
        <w:adjustRightInd w:val="0"/>
        <w:snapToGrid w:val="0"/>
        <w:spacing w:line="600" w:lineRule="exact"/>
        <w:ind w:firstLine="720"/>
        <w:rPr>
          <w:rFonts w:ascii="仿宋_GB2312" w:hAnsi="仿宋_GB2312" w:eastAsia="仿宋_GB2312" w:cs="仿宋_GB2312"/>
          <w:sz w:val="32"/>
          <w:szCs w:val="32"/>
        </w:rPr>
      </w:pPr>
      <w:r>
        <w:rPr>
          <w:rFonts w:hint="eastAsia" w:ascii="仿宋_GB2312" w:hAnsi="仿宋_GB2312" w:eastAsia="仿宋_GB2312" w:cs="仿宋_GB2312"/>
          <w:sz w:val="32"/>
          <w:szCs w:val="32"/>
        </w:rPr>
        <w:t>按照计划顺利并高质量的完成了年鉴的编辑出版工作，并已发放给全县各单位。</w:t>
      </w:r>
    </w:p>
    <w:p>
      <w:pPr>
        <w:adjustRightInd w:val="0"/>
        <w:snapToGrid w:val="0"/>
        <w:spacing w:line="600" w:lineRule="exact"/>
        <w:ind w:firstLine="720"/>
        <w:rPr>
          <w:rFonts w:ascii="仿宋_GB2312" w:hAnsi="仿宋_GB2312" w:eastAsia="仿宋_GB2312" w:cs="仿宋_GB2312"/>
          <w:b/>
          <w:sz w:val="32"/>
          <w:szCs w:val="32"/>
          <w:lang w:val="zh-CN"/>
        </w:rPr>
      </w:pPr>
      <w:bookmarkStart w:id="12" w:name="_Toc1630_WPSOffice_Level2"/>
      <w:r>
        <w:rPr>
          <w:rFonts w:hint="eastAsia" w:ascii="仿宋_GB2312" w:hAnsi="仿宋_GB2312" w:eastAsia="仿宋_GB2312" w:cs="仿宋_GB2312"/>
          <w:b/>
          <w:sz w:val="32"/>
          <w:szCs w:val="32"/>
          <w:lang w:val="zh-CN"/>
        </w:rPr>
        <w:t>（二）项目效益情况。</w:t>
      </w:r>
      <w:bookmarkEnd w:id="12"/>
    </w:p>
    <w:p>
      <w:pPr>
        <w:adjustRightInd w:val="0"/>
        <w:snapToGrid w:val="0"/>
        <w:spacing w:line="600" w:lineRule="exact"/>
        <w:ind w:firstLine="720"/>
        <w:rPr>
          <w:rFonts w:ascii="仿宋_GB2312" w:hAnsi="仿宋_GB2312" w:eastAsia="仿宋_GB2312" w:cs="仿宋_GB2312"/>
          <w:sz w:val="32"/>
          <w:szCs w:val="32"/>
        </w:rPr>
      </w:pPr>
      <w:r>
        <w:rPr>
          <w:rFonts w:hint="eastAsia" w:ascii="仿宋_GB2312" w:hAnsi="仿宋_GB2312" w:eastAsia="仿宋_GB2312" w:cs="仿宋_GB2312"/>
          <w:sz w:val="32"/>
          <w:szCs w:val="32"/>
        </w:rPr>
        <w:t>《峨边彝族自治县年鉴》是峨边彝族自治县人民政府组织编撰的综合性地方年鉴，旨在按年度全面、系统记录峨边彝族自治县政治、经济、文化、社会发展情况，真实反映峨边彝族自治县真抓实干、开拓创新，为致力绿色崛起、建设美丽峨边、建成全面小康社会，不断改善人民生活、促进城乡共同发展、共同繁荣的历史进程。为各级党政机关、研究部门、国内投资者和社会各界人士了解峨边、认识峨边和研究峨边提供依据，是集资料性、综合性、权威性、存史性等特征一体的大型年度性多功能工具书。</w:t>
      </w:r>
    </w:p>
    <w:p>
      <w:pPr>
        <w:adjustRightInd w:val="0"/>
        <w:snapToGrid w:val="0"/>
        <w:spacing w:line="600" w:lineRule="exact"/>
        <w:ind w:firstLine="720"/>
        <w:rPr>
          <w:rFonts w:ascii="黑体" w:hAnsi="黑体" w:eastAsia="黑体" w:cs="黑体"/>
          <w:sz w:val="32"/>
          <w:szCs w:val="32"/>
        </w:rPr>
      </w:pPr>
      <w:bookmarkStart w:id="13" w:name="_Toc19235_WPSOffice_Level1"/>
      <w:r>
        <w:rPr>
          <w:rFonts w:hint="eastAsia" w:ascii="黑体" w:hAnsi="黑体" w:eastAsia="黑体" w:cs="黑体"/>
          <w:sz w:val="32"/>
          <w:szCs w:val="32"/>
        </w:rPr>
        <w:t>五、评价结论及建议</w:t>
      </w:r>
      <w:bookmarkEnd w:id="13"/>
    </w:p>
    <w:p>
      <w:pPr>
        <w:adjustRightInd w:val="0"/>
        <w:snapToGrid w:val="0"/>
        <w:spacing w:line="600" w:lineRule="exact"/>
        <w:ind w:firstLine="720"/>
        <w:rPr>
          <w:rFonts w:ascii="仿宋_GB2312" w:hAnsi="仿宋_GB2312" w:eastAsia="仿宋_GB2312" w:cs="仿宋_GB2312"/>
          <w:b/>
          <w:sz w:val="32"/>
          <w:szCs w:val="32"/>
          <w:lang w:val="zh-CN"/>
        </w:rPr>
      </w:pPr>
      <w:bookmarkStart w:id="14" w:name="_Toc5405_WPSOffice_Level2"/>
      <w:r>
        <w:rPr>
          <w:rFonts w:hint="eastAsia" w:ascii="仿宋_GB2312" w:hAnsi="仿宋_GB2312" w:eastAsia="仿宋_GB2312" w:cs="仿宋_GB2312"/>
          <w:b/>
          <w:sz w:val="32"/>
          <w:szCs w:val="32"/>
          <w:lang w:val="zh-CN"/>
        </w:rPr>
        <w:t>（一）评价结论。</w:t>
      </w:r>
      <w:bookmarkEnd w:id="14"/>
    </w:p>
    <w:p>
      <w:pPr>
        <w:adjustRightInd w:val="0"/>
        <w:snapToGrid w:val="0"/>
        <w:spacing w:line="600" w:lineRule="exact"/>
        <w:ind w:firstLine="72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峨边彝族自治县年鉴》是峨边彝族自治县人民政府组织编撰的综合性地方年鉴，旨在按年度全面、系统记录峨边彝族自治县政治、经济、文化、社会发展情况，真实反映峨边彝族自治县真抓实干、开拓创新，为致力绿色崛起、建设美丽峨边、建成全面小康社会，不断改善人民生活、促进城乡共同发展、共同繁荣的历史进程。为各级党政机关、研究部门、国内投资者和社会各界人士了解峨边、认识峨边和研究峨边提供依据，是集资料性、综合性、权威性、存史性等特征一体的大型年度性多功能工具书。</w:t>
      </w:r>
    </w:p>
    <w:p>
      <w:pPr>
        <w:adjustRightInd w:val="0"/>
        <w:snapToGrid w:val="0"/>
        <w:spacing w:line="600" w:lineRule="exact"/>
        <w:ind w:firstLine="720"/>
        <w:rPr>
          <w:rFonts w:ascii="仿宋_GB2312" w:hAnsi="仿宋_GB2312" w:eastAsia="仿宋_GB2312" w:cs="仿宋_GB2312"/>
          <w:b/>
          <w:sz w:val="32"/>
          <w:szCs w:val="32"/>
          <w:lang w:val="zh-CN"/>
        </w:rPr>
      </w:pPr>
      <w:bookmarkStart w:id="15" w:name="_Toc20416_WPSOffice_Level2"/>
      <w:r>
        <w:rPr>
          <w:rFonts w:hint="eastAsia" w:ascii="仿宋_GB2312" w:hAnsi="仿宋_GB2312" w:eastAsia="仿宋_GB2312" w:cs="仿宋_GB2312"/>
          <w:b/>
          <w:sz w:val="32"/>
          <w:szCs w:val="32"/>
          <w:lang w:val="zh-CN"/>
        </w:rPr>
        <w:t>（二）存在的问题。</w:t>
      </w:r>
      <w:bookmarkEnd w:id="15"/>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由于部分单位在提供年鉴资料时没有全面系统的收集整理本单位本系统所有重要资料，造成有些重要事件没能载入年鉴。</w:t>
      </w:r>
    </w:p>
    <w:p>
      <w:pPr>
        <w:adjustRightInd w:val="0"/>
        <w:snapToGrid w:val="0"/>
        <w:spacing w:line="600" w:lineRule="exact"/>
        <w:ind w:firstLine="720"/>
        <w:rPr>
          <w:rFonts w:ascii="仿宋_GB2312" w:hAnsi="仿宋_GB2312" w:eastAsia="仿宋_GB2312" w:cs="仿宋_GB2312"/>
          <w:b/>
          <w:sz w:val="32"/>
          <w:szCs w:val="32"/>
          <w:lang w:val="zh-CN"/>
        </w:rPr>
      </w:pPr>
      <w:bookmarkStart w:id="16" w:name="_Toc29134_WPSOffice_Level2"/>
      <w:r>
        <w:rPr>
          <w:rFonts w:hint="eastAsia" w:ascii="仿宋_GB2312" w:hAnsi="仿宋_GB2312" w:eastAsia="仿宋_GB2312" w:cs="仿宋_GB2312"/>
          <w:b/>
          <w:sz w:val="32"/>
          <w:szCs w:val="32"/>
          <w:lang w:val="zh-CN"/>
        </w:rPr>
        <w:t>（三）相关建议。</w:t>
      </w:r>
      <w:bookmarkEnd w:id="16"/>
    </w:p>
    <w:p>
      <w:pPr>
        <w:ind w:firstLine="64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针对存在的问题，下一步将在全县加大峨边年鉴编纂重要性宣传力度，提高重视程度，并邀请他们共同参与，共同把峨边年鉴越编越好。</w:t>
      </w:r>
    </w:p>
    <w:p>
      <w:pPr>
        <w:adjustRightInd w:val="0"/>
        <w:snapToGrid w:val="0"/>
        <w:spacing w:line="600" w:lineRule="exact"/>
        <w:ind w:firstLine="720"/>
      </w:pPr>
      <w:bookmarkStart w:id="17" w:name="_GoBack"/>
      <w:bookmarkEnd w:id="17"/>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D466608"/>
    <w:rsid w:val="0D850CC5"/>
    <w:rsid w:val="19B536B9"/>
    <w:rsid w:val="291C455A"/>
    <w:rsid w:val="2A502512"/>
    <w:rsid w:val="36926D0C"/>
    <w:rsid w:val="414A628B"/>
    <w:rsid w:val="673E27F9"/>
    <w:rsid w:val="6EF16389"/>
    <w:rsid w:val="72421106"/>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1</TotalTime>
  <ScaleCrop>false</ScaleCrop>
  <LinksUpToDate>false</LinksUpToDate>
  <CharactersWithSpaces>1342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2023-06-06T08:50:54Z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y fmtid="{D5CDD505-2E9C-101B-9397-08002B2CF9AE}" pid="3" name="ICV">
    <vt:lpwstr>2295F6004E7C4908A6170C90E5C595B7</vt:lpwstr>
  </property>
</Properties>
</file>